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CD" w:rsidRDefault="00737ECD"/>
    <w:p w:rsidR="00737ECD" w:rsidRDefault="00737ECD" w:rsidP="00737ECD">
      <w:pPr>
        <w:jc w:val="center"/>
        <w:rPr>
          <w:rFonts w:ascii="Times New Roman" w:hAnsi="Times New Roman" w:cs="Times New Roman"/>
        </w:rPr>
      </w:pPr>
    </w:p>
    <w:p w:rsidR="00737ECD" w:rsidRDefault="00737ECD" w:rsidP="00737ECD">
      <w:pPr>
        <w:jc w:val="center"/>
        <w:rPr>
          <w:rFonts w:ascii="Times New Roman" w:hAnsi="Times New Roman" w:cs="Times New Roman"/>
        </w:rPr>
      </w:pPr>
    </w:p>
    <w:p w:rsidR="00737ECD" w:rsidRDefault="00737ECD" w:rsidP="00737ECD">
      <w:pPr>
        <w:jc w:val="center"/>
        <w:rPr>
          <w:rFonts w:ascii="Times New Roman" w:hAnsi="Times New Roman" w:cs="Times New Roman"/>
        </w:rPr>
      </w:pPr>
    </w:p>
    <w:p w:rsidR="003512E3" w:rsidRDefault="00737ECD" w:rsidP="00737ECD">
      <w:pPr>
        <w:jc w:val="center"/>
        <w:rPr>
          <w:rFonts w:ascii="Times New Roman" w:hAnsi="Times New Roman" w:cs="Times New Roman"/>
          <w:b/>
          <w:i/>
          <w:sz w:val="36"/>
          <w:szCs w:val="36"/>
        </w:rPr>
      </w:pPr>
      <w:r w:rsidRPr="00957FF5">
        <w:rPr>
          <w:rFonts w:ascii="Times New Roman" w:hAnsi="Times New Roman" w:cs="Times New Roman"/>
          <w:b/>
          <w:i/>
          <w:sz w:val="36"/>
          <w:szCs w:val="36"/>
        </w:rPr>
        <w:t xml:space="preserve">ПАМЯТКА </w:t>
      </w:r>
      <w:r w:rsidR="00E94E1F">
        <w:rPr>
          <w:rFonts w:ascii="Times New Roman" w:hAnsi="Times New Roman" w:cs="Times New Roman"/>
          <w:b/>
          <w:i/>
          <w:sz w:val="36"/>
          <w:szCs w:val="36"/>
        </w:rPr>
        <w:t xml:space="preserve">МКУ «ЦУУО» </w:t>
      </w:r>
    </w:p>
    <w:p w:rsidR="00737ECD" w:rsidRPr="00957FF5" w:rsidRDefault="00737ECD" w:rsidP="00737ECD">
      <w:pPr>
        <w:jc w:val="center"/>
        <w:rPr>
          <w:rFonts w:ascii="Times New Roman" w:hAnsi="Times New Roman" w:cs="Times New Roman"/>
          <w:b/>
          <w:i/>
          <w:sz w:val="36"/>
          <w:szCs w:val="36"/>
        </w:rPr>
      </w:pPr>
      <w:r w:rsidRPr="00957FF5">
        <w:rPr>
          <w:rFonts w:ascii="Times New Roman" w:hAnsi="Times New Roman" w:cs="Times New Roman"/>
          <w:b/>
          <w:i/>
          <w:sz w:val="36"/>
          <w:szCs w:val="36"/>
        </w:rPr>
        <w:t xml:space="preserve"> ПО УРЕГУЛИРОВАНИЮ КОНФЛИКТА ИНТЕРЕСОВ ПРИ ОСУЩЕСТВЛЕНИИ ЗАКУПОК ТОВАРОВ, РАБОТ, УСЛУГ ДЛЯ ОБЕСПЕЧЕНИЯ МУНИЦИПАЛЬНЫХ НУЖД</w:t>
      </w:r>
    </w:p>
    <w:p w:rsidR="00737ECD" w:rsidRDefault="00737ECD"/>
    <w:p w:rsidR="00737ECD" w:rsidRDefault="00957FF5" w:rsidP="00957FF5">
      <w:pPr>
        <w:jc w:val="center"/>
      </w:pPr>
      <w:r>
        <w:rPr>
          <w:noProof/>
          <w:lang w:eastAsia="ru-RU"/>
        </w:rPr>
        <w:drawing>
          <wp:inline distT="0" distB="0" distL="0" distR="0">
            <wp:extent cx="4211043" cy="2964089"/>
            <wp:effectExtent l="19050" t="0" r="0" b="0"/>
            <wp:docPr id="2" name="Рисунок 1" descr="https://im0-tub-ru.yandex.net/i?id=c9cef8bdf2e053952631309526a4442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c9cef8bdf2e053952631309526a44429-l&amp;n=13"/>
                    <pic:cNvPicPr>
                      <a:picLocks noChangeAspect="1" noChangeArrowheads="1"/>
                    </pic:cNvPicPr>
                  </pic:nvPicPr>
                  <pic:blipFill>
                    <a:blip r:embed="rId5" cstate="print"/>
                    <a:srcRect/>
                    <a:stretch>
                      <a:fillRect/>
                    </a:stretch>
                  </pic:blipFill>
                  <pic:spPr bwMode="auto">
                    <a:xfrm>
                      <a:off x="0" y="0"/>
                      <a:ext cx="4214720" cy="2966677"/>
                    </a:xfrm>
                    <a:prstGeom prst="rect">
                      <a:avLst/>
                    </a:prstGeom>
                    <a:noFill/>
                    <a:ln w="9525">
                      <a:noFill/>
                      <a:miter lim="800000"/>
                      <a:headEnd/>
                      <a:tailEnd/>
                    </a:ln>
                  </pic:spPr>
                </pic:pic>
              </a:graphicData>
            </a:graphic>
          </wp:inline>
        </w:drawing>
      </w:r>
    </w:p>
    <w:p w:rsidR="00737ECD" w:rsidRDefault="00737ECD"/>
    <w:p w:rsidR="00737ECD" w:rsidRDefault="00737ECD"/>
    <w:p w:rsidR="00737ECD" w:rsidRDefault="00737ECD"/>
    <w:p w:rsidR="00737ECD" w:rsidRDefault="00737ECD"/>
    <w:p w:rsidR="00E94E1F" w:rsidRDefault="00E94E1F"/>
    <w:p w:rsidR="00E94E1F" w:rsidRDefault="00E94E1F"/>
    <w:p w:rsidR="00E94E1F" w:rsidRDefault="00E94E1F"/>
    <w:p w:rsidR="00E94E1F" w:rsidRDefault="00E94E1F"/>
    <w:p w:rsidR="00E94E1F" w:rsidRDefault="00E94E1F"/>
    <w:p w:rsidR="00E94E1F" w:rsidRDefault="00E94E1F"/>
    <w:p w:rsidR="00737ECD" w:rsidRDefault="00737ECD"/>
    <w:p w:rsidR="00737ECD" w:rsidRPr="0047700A" w:rsidRDefault="00737ECD" w:rsidP="00957FF5">
      <w:pPr>
        <w:jc w:val="both"/>
        <w:rPr>
          <w:rFonts w:ascii="Times New Roman" w:hAnsi="Times New Roman" w:cs="Times New Roman"/>
          <w:sz w:val="28"/>
          <w:szCs w:val="28"/>
        </w:rPr>
      </w:pPr>
      <w:r w:rsidRPr="0047700A">
        <w:rPr>
          <w:rFonts w:ascii="Times New Roman" w:hAnsi="Times New Roman" w:cs="Times New Roman"/>
          <w:sz w:val="28"/>
          <w:szCs w:val="28"/>
        </w:rPr>
        <w:t xml:space="preserve">Настоящая памятка разработана с целью профилактики </w:t>
      </w:r>
      <w:r w:rsidR="00E94E1F">
        <w:rPr>
          <w:rFonts w:ascii="Times New Roman" w:hAnsi="Times New Roman" w:cs="Times New Roman"/>
          <w:sz w:val="28"/>
          <w:szCs w:val="28"/>
        </w:rPr>
        <w:t xml:space="preserve">коррупционных правонарушений </w:t>
      </w:r>
      <w:r w:rsidRPr="0047700A">
        <w:rPr>
          <w:rFonts w:ascii="Times New Roman" w:hAnsi="Times New Roman" w:cs="Times New Roman"/>
          <w:sz w:val="28"/>
          <w:szCs w:val="28"/>
        </w:rPr>
        <w:t>в сфере закупок, повышения уровня правовой грамотности и формирования в обществе нетерпимости к коррупционным проявлениям.</w:t>
      </w:r>
    </w:p>
    <w:p w:rsidR="00737ECD" w:rsidRDefault="00737ECD" w:rsidP="00957FF5">
      <w:pPr>
        <w:jc w:val="both"/>
        <w:rPr>
          <w:rFonts w:ascii="Times New Roman" w:hAnsi="Times New Roman" w:cs="Times New Roman"/>
          <w:sz w:val="28"/>
          <w:szCs w:val="28"/>
        </w:rPr>
      </w:pPr>
      <w:r w:rsidRPr="0047700A">
        <w:rPr>
          <w:rFonts w:ascii="Times New Roman" w:hAnsi="Times New Roman" w:cs="Times New Roman"/>
          <w:sz w:val="28"/>
          <w:szCs w:val="28"/>
        </w:rPr>
        <w:t>Конфликт интересов является одним из ключевых коррупционных факторов в системе государственных и муниципальных закупок, на борьбу с которым направлены многие государственные механизмы.</w:t>
      </w:r>
    </w:p>
    <w:p w:rsidR="0047700A" w:rsidRPr="0047700A" w:rsidRDefault="0047700A" w:rsidP="00957FF5">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273685</wp:posOffset>
            </wp:positionV>
            <wp:extent cx="1492885" cy="1430655"/>
            <wp:effectExtent l="19050" t="0" r="0" b="0"/>
            <wp:wrapSquare wrapText="bothSides"/>
            <wp:docPr id="10" name="Рисунок 10" descr="https://im0-tub-ru.yandex.net/i?id=eb973a0bc818187e1c26c73b1a6a12bf&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eb973a0bc818187e1c26c73b1a6a12bf&amp;n=13"/>
                    <pic:cNvPicPr>
                      <a:picLocks noChangeAspect="1" noChangeArrowheads="1"/>
                    </pic:cNvPicPr>
                  </pic:nvPicPr>
                  <pic:blipFill>
                    <a:blip r:embed="rId6" cstate="print"/>
                    <a:srcRect/>
                    <a:stretch>
                      <a:fillRect/>
                    </a:stretch>
                  </pic:blipFill>
                  <pic:spPr bwMode="auto">
                    <a:xfrm>
                      <a:off x="0" y="0"/>
                      <a:ext cx="1492885" cy="1430655"/>
                    </a:xfrm>
                    <a:prstGeom prst="rect">
                      <a:avLst/>
                    </a:prstGeom>
                    <a:noFill/>
                    <a:ln w="9525">
                      <a:noFill/>
                      <a:miter lim="800000"/>
                      <a:headEnd/>
                      <a:tailEnd/>
                    </a:ln>
                  </pic:spPr>
                </pic:pic>
              </a:graphicData>
            </a:graphic>
          </wp:anchor>
        </w:drawing>
      </w:r>
    </w:p>
    <w:p w:rsidR="00737ECD" w:rsidRPr="0047700A" w:rsidRDefault="00737ECD" w:rsidP="00957FF5">
      <w:pPr>
        <w:jc w:val="both"/>
        <w:rPr>
          <w:rFonts w:ascii="Times New Roman" w:hAnsi="Times New Roman" w:cs="Times New Roman"/>
          <w:i/>
          <w:sz w:val="24"/>
          <w:szCs w:val="24"/>
        </w:rPr>
      </w:pPr>
      <w:r w:rsidRPr="0047700A">
        <w:rPr>
          <w:rFonts w:ascii="Times New Roman" w:hAnsi="Times New Roman" w:cs="Times New Roman"/>
          <w:i/>
          <w:sz w:val="24"/>
          <w:szCs w:val="24"/>
        </w:rPr>
        <w:t>Согласно пункту 9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одно из требований, предъявляемых к участникам государственной закупки, – отсутствие конфликта интересов между сторонами.</w:t>
      </w:r>
    </w:p>
    <w:p w:rsidR="00957FF5" w:rsidRDefault="00957FF5" w:rsidP="00737ECD">
      <w:pPr>
        <w:jc w:val="center"/>
      </w:pPr>
    </w:p>
    <w:p w:rsidR="00957FF5" w:rsidRDefault="00957FF5" w:rsidP="0047700A"/>
    <w:p w:rsidR="00957FF5" w:rsidRDefault="00957FF5" w:rsidP="00957FF5">
      <w:pPr>
        <w:jc w:val="center"/>
        <w:rPr>
          <w:rFonts w:ascii="Times New Roman" w:hAnsi="Times New Roman" w:cs="Times New Roman"/>
          <w:sz w:val="28"/>
          <w:szCs w:val="28"/>
        </w:rPr>
      </w:pPr>
      <w:r>
        <w:rPr>
          <w:noProof/>
          <w:lang w:eastAsia="ru-RU"/>
        </w:rPr>
        <w:drawing>
          <wp:inline distT="0" distB="0" distL="0" distR="0">
            <wp:extent cx="6265628" cy="4130622"/>
            <wp:effectExtent l="19050" t="0" r="1822" b="0"/>
            <wp:docPr id="13" name="Рисунок 13" descr="https://cf.ppt-online.org/files/slide/k/k2FleSjKNUW0s64pMnhdZ5Iy7it381XLbRcugz/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f.ppt-online.org/files/slide/k/k2FleSjKNUW0s64pMnhdZ5Iy7it381XLbRcugz/slide-8.jpg"/>
                    <pic:cNvPicPr>
                      <a:picLocks noChangeAspect="1" noChangeArrowheads="1"/>
                    </pic:cNvPicPr>
                  </pic:nvPicPr>
                  <pic:blipFill>
                    <a:blip r:embed="rId7" cstate="print"/>
                    <a:srcRect r="1684" b="13433"/>
                    <a:stretch>
                      <a:fillRect/>
                    </a:stretch>
                  </pic:blipFill>
                  <pic:spPr bwMode="auto">
                    <a:xfrm>
                      <a:off x="0" y="0"/>
                      <a:ext cx="6268773" cy="4132696"/>
                    </a:xfrm>
                    <a:prstGeom prst="rect">
                      <a:avLst/>
                    </a:prstGeom>
                    <a:noFill/>
                    <a:ln w="9525">
                      <a:noFill/>
                      <a:miter lim="800000"/>
                      <a:headEnd/>
                      <a:tailEnd/>
                    </a:ln>
                  </pic:spPr>
                </pic:pic>
              </a:graphicData>
            </a:graphic>
          </wp:inline>
        </w:drawing>
      </w:r>
    </w:p>
    <w:p w:rsidR="00957FF5" w:rsidRPr="00957FF5" w:rsidRDefault="00957FF5" w:rsidP="00957FF5">
      <w:pPr>
        <w:jc w:val="center"/>
        <w:rPr>
          <w:rFonts w:ascii="Times New Roman" w:hAnsi="Times New Roman" w:cs="Times New Roman"/>
          <w:sz w:val="28"/>
          <w:szCs w:val="28"/>
        </w:rPr>
      </w:pPr>
    </w:p>
    <w:p w:rsidR="0047700A" w:rsidRPr="0047700A" w:rsidRDefault="00F0798E" w:rsidP="00F0798E">
      <w:pPr>
        <w:pStyle w:val="1"/>
        <w:shd w:val="clear" w:color="auto" w:fill="FFFFFF"/>
        <w:spacing w:before="0" w:beforeAutospacing="0" w:after="144" w:afterAutospacing="0" w:line="219" w:lineRule="atLeast"/>
        <w:jc w:val="both"/>
        <w:rPr>
          <w:b w:val="0"/>
          <w:sz w:val="28"/>
          <w:szCs w:val="28"/>
        </w:rPr>
      </w:pPr>
      <w:r>
        <w:rPr>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-5080</wp:posOffset>
            </wp:positionV>
            <wp:extent cx="1109980" cy="1116330"/>
            <wp:effectExtent l="19050" t="0" r="0" b="0"/>
            <wp:wrapSquare wrapText="bothSides"/>
            <wp:docPr id="16" name="Рисунок 16" descr="https://static5.depositphotos.com/1000941/487/i/450/depositphotos_4879065-stock-photo-attention-traffic-sign-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5.depositphotos.com/1000941/487/i/450/depositphotos_4879065-stock-photo-attention-traffic-sign-on-white.jpg"/>
                    <pic:cNvPicPr>
                      <a:picLocks noChangeAspect="1" noChangeArrowheads="1"/>
                    </pic:cNvPicPr>
                  </pic:nvPicPr>
                  <pic:blipFill>
                    <a:blip r:embed="rId8" cstate="print"/>
                    <a:srcRect/>
                    <a:stretch>
                      <a:fillRect/>
                    </a:stretch>
                  </pic:blipFill>
                  <pic:spPr bwMode="auto">
                    <a:xfrm>
                      <a:off x="0" y="0"/>
                      <a:ext cx="1109980" cy="1116330"/>
                    </a:xfrm>
                    <a:prstGeom prst="rect">
                      <a:avLst/>
                    </a:prstGeom>
                    <a:noFill/>
                    <a:ln w="9525">
                      <a:noFill/>
                      <a:miter lim="800000"/>
                      <a:headEnd/>
                      <a:tailEnd/>
                    </a:ln>
                  </pic:spPr>
                </pic:pic>
              </a:graphicData>
            </a:graphic>
          </wp:anchor>
        </w:drawing>
      </w:r>
      <w:r w:rsidR="00737ECD" w:rsidRPr="00F0798E">
        <w:rPr>
          <w:b w:val="0"/>
          <w:sz w:val="28"/>
          <w:szCs w:val="28"/>
        </w:rPr>
        <w:t xml:space="preserve">Руководствуясь </w:t>
      </w:r>
      <w:r w:rsidRPr="00F0798E">
        <w:rPr>
          <w:b w:val="0"/>
          <w:sz w:val="28"/>
          <w:szCs w:val="28"/>
        </w:rPr>
        <w:t>статьей</w:t>
      </w:r>
      <w:r w:rsidR="00737ECD" w:rsidRPr="00F0798E">
        <w:rPr>
          <w:b w:val="0"/>
          <w:sz w:val="28"/>
          <w:szCs w:val="28"/>
        </w:rPr>
        <w:t xml:space="preserve"> 31 Федерального закона № 44-ФЗ</w:t>
      </w:r>
      <w:r w:rsidRPr="00F0798E">
        <w:rPr>
          <w:b w:val="0"/>
          <w:sz w:val="28"/>
          <w:szCs w:val="28"/>
        </w:rPr>
        <w:t xml:space="preserve"> «</w:t>
      </w:r>
      <w:r w:rsidRPr="00F0798E">
        <w:rPr>
          <w:b w:val="0"/>
          <w:color w:val="000000"/>
          <w:sz w:val="28"/>
          <w:szCs w:val="28"/>
        </w:rPr>
        <w:t>"О контрактной системе в сфере закупок товаров, работ, услуг для обеспечения государственных и муниципальных нужд"</w:t>
      </w:r>
      <w:r>
        <w:rPr>
          <w:b w:val="0"/>
          <w:sz w:val="28"/>
          <w:szCs w:val="28"/>
        </w:rPr>
        <w:t>, законодателем</w:t>
      </w:r>
      <w:r w:rsidRPr="00F0798E">
        <w:rPr>
          <w:b w:val="0"/>
          <w:sz w:val="28"/>
          <w:szCs w:val="28"/>
        </w:rPr>
        <w:t xml:space="preserve"> определены требования к участникам закупки:</w:t>
      </w:r>
    </w:p>
    <w:p w:rsidR="00F0798E" w:rsidRPr="00F0798E" w:rsidRDefault="00F0798E" w:rsidP="00F0798E">
      <w:pPr>
        <w:jc w:val="both"/>
        <w:rPr>
          <w:rFonts w:ascii="Times New Roman" w:hAnsi="Times New Roman" w:cs="Times New Roman"/>
        </w:rPr>
      </w:pPr>
      <w:proofErr w:type="gramStart"/>
      <w:r w:rsidRPr="0047700A">
        <w:rPr>
          <w:rFonts w:ascii="Times New Roman" w:hAnsi="Times New Roman" w:cs="Times New Roman"/>
          <w:b/>
          <w:i/>
          <w:color w:val="000000"/>
          <w:u w:val="single"/>
          <w:shd w:val="clear" w:color="auto" w:fill="FFFFFF"/>
        </w:rPr>
        <w:t>п.9.</w:t>
      </w:r>
      <w:r w:rsidRPr="00F0798E">
        <w:rPr>
          <w:rFonts w:ascii="Times New Roman" w:hAnsi="Times New Roman" w:cs="Times New Roman"/>
          <w:color w:val="000000"/>
          <w:shd w:val="clear" w:color="auto" w:fill="FFFFF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0798E">
        <w:rPr>
          <w:rFonts w:ascii="Times New Roman" w:hAnsi="Times New Roman" w:cs="Times New Roman"/>
          <w:color w:val="000000"/>
          <w:shd w:val="clear" w:color="auto" w:fill="FFFFFF"/>
        </w:rPr>
        <w:t>выгодоприобретателями</w:t>
      </w:r>
      <w:proofErr w:type="spellEnd"/>
      <w:r w:rsidRPr="00F0798E">
        <w:rPr>
          <w:rFonts w:ascii="Times New Roman" w:hAnsi="Times New Roman" w:cs="Times New Roman"/>
          <w:color w:val="000000"/>
          <w:shd w:val="clear" w:color="auto" w:fill="FFFFFF"/>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0798E">
        <w:rPr>
          <w:rFonts w:ascii="Times New Roman" w:hAnsi="Times New Roman" w:cs="Times New Roman"/>
          <w:color w:val="000000"/>
          <w:shd w:val="clear" w:color="auto" w:fill="FFFFFF"/>
        </w:rPr>
        <w:t xml:space="preserve"> </w:t>
      </w:r>
      <w:proofErr w:type="gramStart"/>
      <w:r w:rsidRPr="00F0798E">
        <w:rPr>
          <w:rFonts w:ascii="Times New Roman" w:hAnsi="Times New Roman" w:cs="Times New Roman"/>
          <w:color w:val="000000"/>
          <w:shd w:val="clear" w:color="auto" w:fill="FFFFFF"/>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798E">
        <w:rPr>
          <w:rFonts w:ascii="Times New Roman" w:hAnsi="Times New Roman" w:cs="Times New Roman"/>
          <w:color w:val="000000"/>
          <w:shd w:val="clear" w:color="auto" w:fill="FFFFFF"/>
        </w:rPr>
        <w:t>неполнородными</w:t>
      </w:r>
      <w:proofErr w:type="spellEnd"/>
      <w:r w:rsidRPr="00F0798E">
        <w:rPr>
          <w:rFonts w:ascii="Times New Roman" w:hAnsi="Times New Roman" w:cs="Times New Roman"/>
          <w:color w:val="000000"/>
          <w:shd w:val="clear" w:color="auto" w:fill="FFFFFF"/>
        </w:rPr>
        <w:t xml:space="preserve"> (имеющими общих отца или мать) братьями и сестрами), усыновителями или усыновленными указанных физических лиц.</w:t>
      </w:r>
      <w:proofErr w:type="gramEnd"/>
      <w:r w:rsidRPr="00F0798E">
        <w:rPr>
          <w:rFonts w:ascii="Times New Roman" w:hAnsi="Times New Roman" w:cs="Times New Roman"/>
          <w:color w:val="000000"/>
          <w:shd w:val="clear" w:color="auto" w:fill="FFFFFF"/>
        </w:rPr>
        <w:t xml:space="preserve"> Под </w:t>
      </w:r>
      <w:proofErr w:type="spellStart"/>
      <w:r w:rsidRPr="00F0798E">
        <w:rPr>
          <w:rFonts w:ascii="Times New Roman" w:hAnsi="Times New Roman" w:cs="Times New Roman"/>
          <w:color w:val="000000"/>
          <w:shd w:val="clear" w:color="auto" w:fill="FFFFFF"/>
        </w:rPr>
        <w:t>выгодоприобретателями</w:t>
      </w:r>
      <w:proofErr w:type="spellEnd"/>
      <w:r w:rsidRPr="00F0798E">
        <w:rPr>
          <w:rFonts w:ascii="Times New Roman" w:hAnsi="Times New Roman" w:cs="Times New Roman"/>
          <w:color w:val="000000"/>
          <w:shd w:val="clear" w:color="auto" w:fill="FFFFFF"/>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7ECD" w:rsidRPr="0047700A" w:rsidRDefault="00737ECD" w:rsidP="0047700A">
      <w:pPr>
        <w:jc w:val="both"/>
        <w:rPr>
          <w:rFonts w:ascii="Times New Roman" w:hAnsi="Times New Roman" w:cs="Times New Roman"/>
          <w:sz w:val="28"/>
          <w:szCs w:val="28"/>
        </w:rPr>
      </w:pPr>
      <w:r w:rsidRPr="00F0798E">
        <w:rPr>
          <w:rFonts w:ascii="Times New Roman" w:hAnsi="Times New Roman" w:cs="Times New Roman"/>
          <w:b/>
          <w:sz w:val="28"/>
          <w:szCs w:val="28"/>
        </w:rPr>
        <w:t>Корпоративные отношения</w:t>
      </w:r>
      <w:r w:rsidRPr="00F0798E">
        <w:rPr>
          <w:rFonts w:ascii="Times New Roman" w:hAnsi="Times New Roman" w:cs="Times New Roman"/>
          <w:sz w:val="28"/>
          <w:szCs w:val="28"/>
        </w:rPr>
        <w:t xml:space="preserve"> – отношения, связанные с участием в корпоративных организациях или с управлением ими. Иными близкими отношениями следует считать отношения с лицами, жизнь, здоровье и благополучие которых дороги лицу, замещающему должность, в силу сложившихся личных отношений, например, сожительство, дружба, деловое партнерство в прошлом и т.п.</w:t>
      </w:r>
    </w:p>
    <w:p w:rsidR="0047700A" w:rsidRDefault="00E678C8">
      <w:r>
        <w:rPr>
          <w:noProof/>
          <w:lang w:eastAsia="ru-RU"/>
        </w:rPr>
      </w:r>
      <w:r>
        <w:rPr>
          <w:noProof/>
          <w:lang w:eastAsia="ru-RU"/>
        </w:rPr>
        <w:pict>
          <v:rect id="AutoShape 1"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n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flyJ7ACAAC3BQAADgAAAAAAAAAA&#10;AAAAAAAuAgAAZHJzL2Uyb0RvYy54bWxQSwECLQAUAAYACAAAACEATKDpLNgAAAADAQAADwAAAAAA&#10;AAAAAAAAAAAKBQAAZHJzL2Rvd25yZXYueG1sUEsFBgAAAAAEAAQA8wAAAA8GAAAAAA==&#10;" filled="f" stroked="f">
            <o:lock v:ext="edit" aspectratio="t"/>
            <w10:wrap type="none"/>
            <w10:anchorlock/>
          </v:rect>
        </w:pict>
      </w:r>
      <w:r>
        <w:rPr>
          <w:noProof/>
          <w:lang w:eastAsia="ru-RU"/>
        </w:rPr>
      </w:r>
      <w:r>
        <w:rPr>
          <w:noProof/>
          <w:lang w:eastAsia="ru-RU"/>
        </w:rPr>
        <w:pict>
          <v:rect id="AutoShape 2"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filled="f" stroked="f">
            <o:lock v:ext="edit" aspectratio="t"/>
            <w10:wrap type="none"/>
            <w10:anchorlock/>
          </v:rect>
        </w:pict>
      </w:r>
      <w:r w:rsidR="0047700A">
        <w:rPr>
          <w:noProof/>
          <w:lang w:eastAsia="ru-RU"/>
        </w:rPr>
        <w:drawing>
          <wp:inline distT="0" distB="0" distL="0" distR="0">
            <wp:extent cx="3996358" cy="2995692"/>
            <wp:effectExtent l="19050" t="0" r="4142" b="0"/>
            <wp:docPr id="26" name="Рисунок 26" descr="http://www.sch11-slv.ru/_si/0/03628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h11-slv.ru/_si/0/03628601.jpg"/>
                    <pic:cNvPicPr>
                      <a:picLocks noChangeAspect="1" noChangeArrowheads="1"/>
                    </pic:cNvPicPr>
                  </pic:nvPicPr>
                  <pic:blipFill>
                    <a:blip r:embed="rId9" cstate="print"/>
                    <a:srcRect/>
                    <a:stretch>
                      <a:fillRect/>
                    </a:stretch>
                  </pic:blipFill>
                  <pic:spPr bwMode="auto">
                    <a:xfrm>
                      <a:off x="0" y="0"/>
                      <a:ext cx="3996578" cy="2995857"/>
                    </a:xfrm>
                    <a:prstGeom prst="rect">
                      <a:avLst/>
                    </a:prstGeom>
                    <a:noFill/>
                    <a:ln w="9525">
                      <a:noFill/>
                      <a:miter lim="800000"/>
                      <a:headEnd/>
                      <a:tailEnd/>
                    </a:ln>
                  </pic:spPr>
                </pic:pic>
              </a:graphicData>
            </a:graphic>
          </wp:inline>
        </w:drawing>
      </w:r>
    </w:p>
    <w:p w:rsidR="0047700A" w:rsidRDefault="0047700A"/>
    <w:p w:rsidR="00FA724E" w:rsidRPr="0047700A" w:rsidRDefault="00737ECD" w:rsidP="00FA724E">
      <w:pPr>
        <w:jc w:val="center"/>
        <w:rPr>
          <w:rFonts w:ascii="Times New Roman" w:hAnsi="Times New Roman" w:cs="Times New Roman"/>
          <w:b/>
          <w:sz w:val="28"/>
          <w:szCs w:val="28"/>
          <w:u w:val="single"/>
        </w:rPr>
      </w:pPr>
      <w:r w:rsidRPr="0047700A">
        <w:rPr>
          <w:rFonts w:ascii="Times New Roman" w:hAnsi="Times New Roman" w:cs="Times New Roman"/>
          <w:b/>
          <w:sz w:val="28"/>
          <w:szCs w:val="28"/>
          <w:u w:val="single"/>
        </w:rPr>
        <w:t>КАК ПРЕДОТВРАТИТЬ КОНФЛИКТ ИНТЕРЕСОВ</w:t>
      </w:r>
      <w:r w:rsidR="00FA724E" w:rsidRPr="0047700A">
        <w:rPr>
          <w:rFonts w:ascii="Times New Roman" w:hAnsi="Times New Roman" w:cs="Times New Roman"/>
          <w:b/>
          <w:sz w:val="28"/>
          <w:szCs w:val="28"/>
          <w:u w:val="single"/>
        </w:rPr>
        <w:t>?</w:t>
      </w:r>
    </w:p>
    <w:p w:rsidR="00FA724E" w:rsidRPr="0047700A" w:rsidRDefault="00737ECD" w:rsidP="00FA724E">
      <w:pPr>
        <w:jc w:val="both"/>
        <w:rPr>
          <w:rFonts w:ascii="Times New Roman" w:hAnsi="Times New Roman" w:cs="Times New Roman"/>
          <w:sz w:val="28"/>
          <w:szCs w:val="28"/>
        </w:rPr>
      </w:pPr>
      <w:r w:rsidRPr="0047700A">
        <w:rPr>
          <w:rFonts w:ascii="Times New Roman" w:hAnsi="Times New Roman" w:cs="Times New Roman"/>
          <w:sz w:val="28"/>
          <w:szCs w:val="28"/>
        </w:rPr>
        <w:t>1. При возникновении ситуации, которая приводит или может привести к к</w:t>
      </w:r>
      <w:r w:rsidR="00FA724E" w:rsidRPr="0047700A">
        <w:rPr>
          <w:rFonts w:ascii="Times New Roman" w:hAnsi="Times New Roman" w:cs="Times New Roman"/>
          <w:sz w:val="28"/>
          <w:szCs w:val="28"/>
        </w:rPr>
        <w:t>онфликту интересов, муниципальному</w:t>
      </w:r>
      <w:r w:rsidRPr="0047700A">
        <w:rPr>
          <w:rFonts w:ascii="Times New Roman" w:hAnsi="Times New Roman" w:cs="Times New Roman"/>
          <w:sz w:val="28"/>
          <w:szCs w:val="28"/>
        </w:rPr>
        <w:t xml:space="preserve"> служащему следует уведомить о наличии личной заинтересованности представителя нанимателя и непосредственного начальника в письменной форме. Предотвращение конфликта интер</w:t>
      </w:r>
      <w:r w:rsidR="00FA724E" w:rsidRPr="0047700A">
        <w:rPr>
          <w:rFonts w:ascii="Times New Roman" w:hAnsi="Times New Roman" w:cs="Times New Roman"/>
          <w:sz w:val="28"/>
          <w:szCs w:val="28"/>
        </w:rPr>
        <w:t xml:space="preserve">есов со стороны муниципального </w:t>
      </w:r>
      <w:r w:rsidRPr="0047700A">
        <w:rPr>
          <w:rFonts w:ascii="Times New Roman" w:hAnsi="Times New Roman" w:cs="Times New Roman"/>
          <w:sz w:val="28"/>
          <w:szCs w:val="28"/>
        </w:rPr>
        <w:t xml:space="preserve"> служащего может быть осуществлено путем самоотвода.</w:t>
      </w:r>
    </w:p>
    <w:p w:rsidR="00737ECD" w:rsidRPr="0047700A" w:rsidRDefault="00737ECD" w:rsidP="00FA724E">
      <w:pPr>
        <w:jc w:val="both"/>
        <w:rPr>
          <w:rFonts w:ascii="Times New Roman" w:hAnsi="Times New Roman" w:cs="Times New Roman"/>
          <w:sz w:val="28"/>
          <w:szCs w:val="28"/>
        </w:rPr>
      </w:pPr>
      <w:r w:rsidRPr="0047700A">
        <w:rPr>
          <w:rFonts w:ascii="Times New Roman" w:hAnsi="Times New Roman" w:cs="Times New Roman"/>
          <w:sz w:val="28"/>
          <w:szCs w:val="28"/>
        </w:rPr>
        <w:t xml:space="preserve"> 2. Если в Ваш адрес поступило обращение в целях склонения к совершению коррупционного правонарушения, а также Вам стало известно о фактах склонения </w:t>
      </w:r>
      <w:r w:rsidR="00FA724E" w:rsidRPr="0047700A">
        <w:rPr>
          <w:rFonts w:ascii="Times New Roman" w:hAnsi="Times New Roman" w:cs="Times New Roman"/>
          <w:sz w:val="28"/>
          <w:szCs w:val="28"/>
        </w:rPr>
        <w:t xml:space="preserve">муниципальных служащих </w:t>
      </w:r>
      <w:r w:rsidRPr="0047700A">
        <w:rPr>
          <w:rFonts w:ascii="Times New Roman" w:hAnsi="Times New Roman" w:cs="Times New Roman"/>
          <w:sz w:val="28"/>
          <w:szCs w:val="28"/>
        </w:rPr>
        <w:t xml:space="preserve">к совершению коррупционных правонарушений, следует уведомить о данных фактах представителя нанимателя и непосредственного начальника в письменной форме. </w:t>
      </w:r>
    </w:p>
    <w:p w:rsidR="0047700A" w:rsidRDefault="0047700A"/>
    <w:p w:rsidR="00FA724E" w:rsidRDefault="00FA724E">
      <w:r>
        <w:rPr>
          <w:noProof/>
          <w:lang w:eastAsia="ru-RU"/>
        </w:rPr>
        <w:drawing>
          <wp:anchor distT="0" distB="0" distL="114300" distR="114300" simplePos="0" relativeHeight="251660288" behindDoc="0" locked="0" layoutInCell="1" allowOverlap="1">
            <wp:simplePos x="0" y="0"/>
            <wp:positionH relativeFrom="column">
              <wp:posOffset>-459740</wp:posOffset>
            </wp:positionH>
            <wp:positionV relativeFrom="paragraph">
              <wp:posOffset>290830</wp:posOffset>
            </wp:positionV>
            <wp:extent cx="2757805" cy="2066925"/>
            <wp:effectExtent l="19050" t="0" r="4445" b="0"/>
            <wp:wrapSquare wrapText="bothSides"/>
            <wp:docPr id="19" name="Рисунок 19" descr="https://doc4web.ru/uploads/files/3/2389/hello_html_m6b7b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4web.ru/uploads/files/3/2389/hello_html_m6b7b0386.jpg"/>
                    <pic:cNvPicPr>
                      <a:picLocks noChangeAspect="1" noChangeArrowheads="1"/>
                    </pic:cNvPicPr>
                  </pic:nvPicPr>
                  <pic:blipFill>
                    <a:blip r:embed="rId10" cstate="print"/>
                    <a:srcRect/>
                    <a:stretch>
                      <a:fillRect/>
                    </a:stretch>
                  </pic:blipFill>
                  <pic:spPr bwMode="auto">
                    <a:xfrm>
                      <a:off x="0" y="0"/>
                      <a:ext cx="2757805" cy="2066925"/>
                    </a:xfrm>
                    <a:prstGeom prst="rect">
                      <a:avLst/>
                    </a:prstGeom>
                    <a:noFill/>
                    <a:ln w="9525">
                      <a:noFill/>
                      <a:miter lim="800000"/>
                      <a:headEnd/>
                      <a:tailEnd/>
                    </a:ln>
                  </pic:spPr>
                </pic:pic>
              </a:graphicData>
            </a:graphic>
          </wp:anchor>
        </w:drawing>
      </w:r>
    </w:p>
    <w:p w:rsidR="00737ECD" w:rsidRPr="00FA724E" w:rsidRDefault="00737ECD" w:rsidP="0047700A">
      <w:pPr>
        <w:jc w:val="both"/>
      </w:pPr>
      <w:r w:rsidRPr="00FA724E">
        <w:rPr>
          <w:rFonts w:ascii="Times New Roman" w:hAnsi="Times New Roman" w:cs="Times New Roman"/>
        </w:rPr>
        <w:t xml:space="preserve">Сведения </w:t>
      </w:r>
      <w:proofErr w:type="gramStart"/>
      <w:r w:rsidRPr="00FA724E">
        <w:rPr>
          <w:rFonts w:ascii="Times New Roman" w:hAnsi="Times New Roman" w:cs="Times New Roman"/>
        </w:rPr>
        <w:t>о применении к лицу взыскания в виде увольнения в связи с утратой</w:t>
      </w:r>
      <w:proofErr w:type="gramEnd"/>
      <w:r w:rsidRPr="00FA724E">
        <w:rPr>
          <w:rFonts w:ascii="Times New Roman" w:hAnsi="Times New Roman" w:cs="Times New Roman"/>
        </w:rPr>
        <w:t xml:space="preserve"> доверия подлежат включению в реестр лиц, уволенных в связи с утратой доверия (далее – реестр), сроком на пять лет.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(Пункты 1, 2 </w:t>
      </w:r>
      <w:r w:rsidRPr="00FA724E">
        <w:rPr>
          <w:rFonts w:ascii="Times New Roman" w:hAnsi="Times New Roman" w:cs="Times New Roman"/>
        </w:rPr>
        <w:lastRenderedPageBreak/>
        <w:t xml:space="preserve">статьи 15 Федерального закона от 25 декабря 2008 г. № 273-ФЗ «О противодействии коррупции») </w:t>
      </w:r>
    </w:p>
    <w:sectPr w:rsidR="00737ECD" w:rsidRPr="00FA724E" w:rsidSect="009C2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ECD"/>
    <w:rsid w:val="003512E3"/>
    <w:rsid w:val="0047700A"/>
    <w:rsid w:val="00737ECD"/>
    <w:rsid w:val="007F1035"/>
    <w:rsid w:val="00957FF5"/>
    <w:rsid w:val="009C2CA1"/>
    <w:rsid w:val="00E678C8"/>
    <w:rsid w:val="00E94E1F"/>
    <w:rsid w:val="00F0798E"/>
    <w:rsid w:val="00FA7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A1"/>
  </w:style>
  <w:style w:type="paragraph" w:styleId="1">
    <w:name w:val="heading 1"/>
    <w:basedOn w:val="a"/>
    <w:link w:val="10"/>
    <w:uiPriority w:val="9"/>
    <w:qFormat/>
    <w:rsid w:val="00F079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ECD"/>
    <w:rPr>
      <w:rFonts w:ascii="Tahoma" w:hAnsi="Tahoma" w:cs="Tahoma"/>
      <w:sz w:val="16"/>
      <w:szCs w:val="16"/>
    </w:rPr>
  </w:style>
  <w:style w:type="character" w:customStyle="1" w:styleId="10">
    <w:name w:val="Заголовок 1 Знак"/>
    <w:basedOn w:val="a0"/>
    <w:link w:val="1"/>
    <w:uiPriority w:val="9"/>
    <w:rsid w:val="00F0798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941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57EF3B5-EC0D-4434-B640-63A81BBC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dc:creator>
  <cp:lastModifiedBy>Чернова</cp:lastModifiedBy>
  <cp:revision>6</cp:revision>
  <dcterms:created xsi:type="dcterms:W3CDTF">2021-09-15T06:34:00Z</dcterms:created>
  <dcterms:modified xsi:type="dcterms:W3CDTF">2022-10-28T09:23:00Z</dcterms:modified>
</cp:coreProperties>
</file>